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214" w:rsidRDefault="004A2385" w:rsidP="00520397">
      <w:pPr>
        <w:jc w:val="both"/>
      </w:pPr>
      <w:r>
        <w:t xml:space="preserve">     Institutional strategies for mobilization of funds and the optimal utilization of </w:t>
      </w:r>
      <w:proofErr w:type="gramStart"/>
      <w:r>
        <w:t>resources ,The</w:t>
      </w:r>
      <w:proofErr w:type="gramEnd"/>
      <w:r>
        <w:t xml:space="preserve"> institution is run by the government so the funds to be utilized are primarily allotted through the Higher Education Department of Tamil Nadu. Funds to be allotted for the institution go through the exercise of forming annual budget as per requirement. It is utilized to meet day to day operational and administrative expenses and maintenance of fixed assets. </w:t>
      </w:r>
      <w:proofErr w:type="gramStart"/>
      <w:r>
        <w:t>enhancement</w:t>
      </w:r>
      <w:proofErr w:type="gramEnd"/>
      <w:r>
        <w:t xml:space="preserve"> of library facilities , learning practices and accordingly requisite funds are utilized every year. The same is being discussed with chief Accounts Officer / Financial Advisor for allotment of funds under different heads. The allotments are made to institution throughout financial year, Optimum end use of the funds is made as per the rules and regulations and is subjected to audit by the government Within the institution funds are mobilized out of a specific percentage of the fee collected from the students. These funds are utilized for the benefit of students and for meeting other minor expenses of the college</w:t>
      </w:r>
    </w:p>
    <w:sectPr w:rsidR="00620214" w:rsidSect="0062021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4A2385"/>
    <w:rsid w:val="004A2385"/>
    <w:rsid w:val="00520397"/>
    <w:rsid w:val="006202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2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2025-01-19T06:58:00Z</dcterms:created>
  <dcterms:modified xsi:type="dcterms:W3CDTF">2025-01-19T06:59:00Z</dcterms:modified>
</cp:coreProperties>
</file>