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5B3B71" w:rsidP="005B3B71">
      <w:pPr>
        <w:jc w:val="both"/>
      </w:pPr>
      <w:r>
        <w:t xml:space="preserve">   Institutions performance appraisal system for teaching and non-teaching staff performance appraisal for teaching faculty following the UGC regulations 2018 and amendments Teachers attend refresher Course/ orientation course/ workshops/ Short Term Courses / Faculty Development </w:t>
      </w:r>
      <w:proofErr w:type="spellStart"/>
      <w:r>
        <w:t>Programmes</w:t>
      </w:r>
      <w:proofErr w:type="spellEnd"/>
      <w:r>
        <w:t xml:space="preserve"> etc during a particular period as it is deemed mandatory for promoting in next grade. The stock of teaching performance is computed by reflecting the involvement of the teacher in curricular, co-curricular and extra-curricular activities. Due consideration is given to the evaluation of innovation for special contribution made by the teacher. . Not only this, his valuable suggestion/ measures are also sought for evaluating his observation for the betterment of Institution. The principal then grades the teachers on the overall report and recommends higher authorities for further necessary action. The appointment is made through the Teachers Recruitment Board of Tamil Nadu. Promotions from Assistant Professor to Associate Professor are based on UGC guidelines. The Principles are appointed on the basis of seniority.</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A3270"/>
    <w:rsid w:val="005B3B71"/>
    <w:rsid w:val="00620214"/>
    <w:rsid w:val="00EA3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2025-01-19T06:56:00Z</dcterms:created>
  <dcterms:modified xsi:type="dcterms:W3CDTF">2025-01-19T06:57:00Z</dcterms:modified>
</cp:coreProperties>
</file>